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DC05B" w14:textId="1C0322FA" w:rsidR="00AE7761" w:rsidRPr="00AE7761" w:rsidRDefault="003E4BC8" w:rsidP="00AE7761">
      <w:pPr>
        <w:pStyle w:val="Default"/>
        <w:rPr>
          <w:b/>
          <w:bCs/>
        </w:rPr>
      </w:pPr>
      <w:r>
        <w:rPr>
          <w:noProof/>
        </w:rPr>
        <w:drawing>
          <wp:anchor distT="0" distB="0" distL="114300" distR="114300" simplePos="0" relativeHeight="251658240" behindDoc="0" locked="0" layoutInCell="1" allowOverlap="1" wp14:anchorId="5EF2F3E8" wp14:editId="2973007F">
            <wp:simplePos x="1981200" y="942975"/>
            <wp:positionH relativeFrom="margin">
              <wp:align>right</wp:align>
            </wp:positionH>
            <wp:positionV relativeFrom="margin">
              <wp:align>top</wp:align>
            </wp:positionV>
            <wp:extent cx="752475" cy="790575"/>
            <wp:effectExtent l="0" t="0" r="9525" b="9525"/>
            <wp:wrapSquare wrapText="bothSides"/>
            <wp:docPr id="3" name="2 Imagen">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2 Imagen">
                      <a:extLst>
                        <a:ext uri="{FF2B5EF4-FFF2-40B4-BE49-F238E27FC236}">
                          <a16:creationId xmlns:a16="http://schemas.microsoft.com/office/drawing/2014/main" id="{00000000-0008-0000-0000-000003000000}"/>
                        </a:ext>
                      </a:extLst>
                    </pic:cNvPr>
                    <pic:cNvPicPr/>
                  </pic:nvPicPr>
                  <pic:blipFill>
                    <a:blip r:embed="rId5" cstate="print">
                      <a:extLst>
                        <a:ext uri="{28A0092B-C50C-407E-A947-70E740481C1C}">
                          <a14:useLocalDpi xmlns:a14="http://schemas.microsoft.com/office/drawing/2010/main" val="0"/>
                        </a:ext>
                      </a:extLst>
                    </a:blip>
                    <a:stretch>
                      <a:fillRect/>
                    </a:stretch>
                  </pic:blipFill>
                  <pic:spPr>
                    <a:xfrm>
                      <a:off x="0" y="0"/>
                      <a:ext cx="752475" cy="790575"/>
                    </a:xfrm>
                    <a:prstGeom prst="rect">
                      <a:avLst/>
                    </a:prstGeom>
                  </pic:spPr>
                </pic:pic>
              </a:graphicData>
            </a:graphic>
            <wp14:sizeRelV relativeFrom="margin">
              <wp14:pctHeight>0</wp14:pctHeight>
            </wp14:sizeRelV>
          </wp:anchor>
        </w:drawing>
      </w:r>
      <w:r>
        <w:rPr>
          <w:noProof/>
        </w:rPr>
        <w:drawing>
          <wp:inline distT="0" distB="0" distL="0" distR="0" wp14:anchorId="236CEEF6" wp14:editId="138642C4">
            <wp:extent cx="809625" cy="847725"/>
            <wp:effectExtent l="0" t="0" r="9525" b="9525"/>
            <wp:docPr id="2" name="4 Imagen" descr="Resultado de imagen para escudo tenabo">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picture">
                <pic:pic xmlns:pic="http://schemas.openxmlformats.org/drawingml/2006/picture">
                  <pic:nvPicPr>
                    <pic:cNvPr id="2" name="4 Imagen" descr="Resultado de imagen para escudo tenabo">
                      <a:extLst>
                        <a:ext uri="{FF2B5EF4-FFF2-40B4-BE49-F238E27FC236}">
                          <a16:creationId xmlns:a16="http://schemas.microsoft.com/office/drawing/2014/main" id="{00000000-0008-0000-0000-000002000000}"/>
                        </a:ext>
                      </a:extLst>
                    </pic:cNvPr>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10038" cy="848157"/>
                    </a:xfrm>
                    <a:prstGeom prst="rect">
                      <a:avLst/>
                    </a:prstGeom>
                    <a:noFill/>
                    <a:ln>
                      <a:noFill/>
                    </a:ln>
                  </pic:spPr>
                </pic:pic>
              </a:graphicData>
            </a:graphic>
          </wp:inline>
        </w:drawing>
      </w:r>
      <w:r w:rsidR="00AE7761">
        <w:rPr>
          <w:b/>
          <w:bCs/>
        </w:rPr>
        <w:t xml:space="preserve">                             </w:t>
      </w:r>
      <w:r w:rsidR="00AE7761" w:rsidRPr="00AE7761">
        <w:rPr>
          <w:b/>
          <w:bCs/>
        </w:rPr>
        <w:t>ESTADO DE CAMPECHE</w:t>
      </w:r>
    </w:p>
    <w:p w14:paraId="7A659295" w14:textId="77777777" w:rsidR="00AE7761" w:rsidRDefault="00AE7761" w:rsidP="00AE7761">
      <w:pPr>
        <w:pStyle w:val="Default"/>
      </w:pPr>
    </w:p>
    <w:p w14:paraId="4102F89A" w14:textId="14D182AA" w:rsidR="00BC3F5C" w:rsidRDefault="00AE7761" w:rsidP="00AE7761">
      <w:pPr>
        <w:pStyle w:val="Default"/>
      </w:pPr>
      <w:r>
        <w:t xml:space="preserve">                                          </w:t>
      </w:r>
      <w:r w:rsidRPr="00AE7761">
        <w:rPr>
          <w:b/>
          <w:bCs/>
        </w:rPr>
        <w:t>H. AYUNTAMIENTO DE TENABO</w:t>
      </w:r>
    </w:p>
    <w:p w14:paraId="57B5021D" w14:textId="561EF344" w:rsidR="00AE7761" w:rsidRDefault="00AE7761" w:rsidP="00BC3F5C">
      <w:pPr>
        <w:pStyle w:val="Default"/>
        <w:jc w:val="both"/>
      </w:pPr>
    </w:p>
    <w:p w14:paraId="7C6764A5" w14:textId="77777777" w:rsidR="00AE7761" w:rsidRDefault="00AE7761" w:rsidP="00BC3F5C">
      <w:pPr>
        <w:pStyle w:val="Default"/>
        <w:jc w:val="both"/>
      </w:pPr>
    </w:p>
    <w:p w14:paraId="2A080915" w14:textId="77777777" w:rsidR="00BC3F5C" w:rsidRDefault="00E7308B" w:rsidP="00BC3F5C">
      <w:pPr>
        <w:pStyle w:val="Default"/>
        <w:jc w:val="both"/>
        <w:rPr>
          <w:sz w:val="20"/>
          <w:szCs w:val="20"/>
        </w:rPr>
      </w:pPr>
      <w:r>
        <w:t xml:space="preserve">     </w:t>
      </w:r>
      <w:r w:rsidR="00BC3F5C">
        <w:rPr>
          <w:b/>
          <w:bCs/>
          <w:sz w:val="20"/>
          <w:szCs w:val="20"/>
        </w:rPr>
        <w:t xml:space="preserve">Artículo 49. </w:t>
      </w:r>
      <w:r w:rsidR="00BC3F5C">
        <w:rPr>
          <w:sz w:val="20"/>
          <w:szCs w:val="20"/>
        </w:rPr>
        <w:t xml:space="preserve">Las aportaciones y sus accesorios que con cargo a los Fondos a que se refiere este Capítulo reciban las entidades y, en su caso, los municipios las alcaldías de la Ciudad de México, no serán embargables, ni los gobiernos correspondientes podrán, bajo ninguna circunstancia, gravarlas ni afectarlas en garantía o destinarse a mecanismos de fuente de pago, salvo por lo dispuesto en los artículos 50, 51 y 52 de esta Ley. Dichas aportaciones y sus accesorios, en ningún caso podrán destinarse a fines distintos a los expresamente previstos en los artículos 26, 29, 33, 37, 40, 42, 45, 47, así como lo dispuesto en el presente artículo de esta Ley. </w:t>
      </w:r>
    </w:p>
    <w:p w14:paraId="11513C01" w14:textId="77777777" w:rsidR="00BC3F5C" w:rsidRDefault="00BC3F5C" w:rsidP="00BC3F5C">
      <w:pPr>
        <w:pStyle w:val="Default"/>
        <w:jc w:val="right"/>
        <w:rPr>
          <w:sz w:val="16"/>
          <w:szCs w:val="16"/>
        </w:rPr>
      </w:pPr>
      <w:r>
        <w:rPr>
          <w:rFonts w:ascii="Times New Roman" w:hAnsi="Times New Roman" w:cs="Times New Roman"/>
          <w:i/>
          <w:iCs/>
          <w:color w:val="0000FF"/>
          <w:sz w:val="16"/>
          <w:szCs w:val="16"/>
        </w:rPr>
        <w:t xml:space="preserve">Párrafo reformado DOF 21-12-2007, 09-12-2013, 18-07-2016 </w:t>
      </w:r>
    </w:p>
    <w:p w14:paraId="7477AFE0" w14:textId="77777777" w:rsidR="00BC3F5C" w:rsidRDefault="00E7308B" w:rsidP="00BC3F5C">
      <w:pPr>
        <w:pStyle w:val="Default"/>
        <w:jc w:val="both"/>
        <w:rPr>
          <w:sz w:val="20"/>
          <w:szCs w:val="20"/>
        </w:rPr>
      </w:pPr>
      <w:r>
        <w:rPr>
          <w:sz w:val="20"/>
          <w:szCs w:val="20"/>
        </w:rPr>
        <w:t xml:space="preserve">     </w:t>
      </w:r>
      <w:r w:rsidR="00BC3F5C">
        <w:rPr>
          <w:sz w:val="20"/>
          <w:szCs w:val="20"/>
        </w:rPr>
        <w:t xml:space="preserve">Las aportaciones federales serán administradas y ejercidas por los gobiernos de las entidades federativas y, en su caso, de los municipios y las alcaldías de la Ciudad de México que las reciban, conforme a sus propias leyes en lo que no se contrapongan a la legislación federal, salvo en el caso de los recursos para el pago de servicios personales previsto en el Fondo de Aportaciones para la Nómina Educativa y Gasto Operativo, en el cual se observará lo dispuesto en el artículo 26 de esta Ley. En todos los casos deberán registrarlas como ingresos que deberán destinarse específicamente a los fines establecidos en los artículos citados en el párrafo anterior. </w:t>
      </w:r>
    </w:p>
    <w:p w14:paraId="2EA32973" w14:textId="77777777" w:rsidR="00BC3F5C" w:rsidRDefault="00BC3F5C" w:rsidP="00BC3F5C">
      <w:pPr>
        <w:pStyle w:val="Default"/>
        <w:jc w:val="right"/>
        <w:rPr>
          <w:sz w:val="16"/>
          <w:szCs w:val="16"/>
        </w:rPr>
      </w:pPr>
      <w:r>
        <w:rPr>
          <w:rFonts w:ascii="Times New Roman" w:hAnsi="Times New Roman" w:cs="Times New Roman"/>
          <w:i/>
          <w:iCs/>
          <w:color w:val="0000FF"/>
          <w:sz w:val="16"/>
          <w:szCs w:val="16"/>
        </w:rPr>
        <w:t xml:space="preserve">Párrafo reformado DOF 09-12-2013, 18-07-2016 </w:t>
      </w:r>
    </w:p>
    <w:p w14:paraId="4479EB08" w14:textId="77777777" w:rsidR="00BC3F5C" w:rsidRDefault="00E7308B" w:rsidP="00BC3F5C">
      <w:pPr>
        <w:pStyle w:val="Default"/>
        <w:jc w:val="both"/>
        <w:rPr>
          <w:sz w:val="20"/>
          <w:szCs w:val="20"/>
        </w:rPr>
      </w:pPr>
      <w:r>
        <w:rPr>
          <w:sz w:val="20"/>
          <w:szCs w:val="20"/>
        </w:rPr>
        <w:t xml:space="preserve">     </w:t>
      </w:r>
      <w:r w:rsidR="00BC3F5C">
        <w:rPr>
          <w:sz w:val="20"/>
          <w:szCs w:val="20"/>
        </w:rPr>
        <w:t xml:space="preserve">Para efectos del entero de los Fondos de Aportaciones a que se refiere el artículo 25 de esta Ley, salvo por lo dispuesto en el artículo 52 de este capítulo, no procederán los anticipos a que se refiere el segundo párrafo del artículo 7o. de la misma. </w:t>
      </w:r>
    </w:p>
    <w:p w14:paraId="143A6BF9" w14:textId="77777777" w:rsidR="00BC3F5C" w:rsidRDefault="00BC3F5C" w:rsidP="00BC3F5C">
      <w:pPr>
        <w:pStyle w:val="Default"/>
        <w:jc w:val="right"/>
        <w:rPr>
          <w:sz w:val="16"/>
          <w:szCs w:val="16"/>
        </w:rPr>
      </w:pPr>
      <w:r>
        <w:rPr>
          <w:rFonts w:ascii="Times New Roman" w:hAnsi="Times New Roman" w:cs="Times New Roman"/>
          <w:i/>
          <w:iCs/>
          <w:color w:val="0000FF"/>
          <w:sz w:val="16"/>
          <w:szCs w:val="16"/>
        </w:rPr>
        <w:t xml:space="preserve">Párrafo adicionado DOF 09-12-2013 </w:t>
      </w:r>
    </w:p>
    <w:p w14:paraId="204CEFAC" w14:textId="77777777" w:rsidR="00BC3F5C" w:rsidRDefault="00E7308B" w:rsidP="00BC3F5C">
      <w:pPr>
        <w:pStyle w:val="Default"/>
        <w:jc w:val="both"/>
        <w:rPr>
          <w:sz w:val="20"/>
          <w:szCs w:val="20"/>
        </w:rPr>
      </w:pPr>
      <w:r>
        <w:rPr>
          <w:sz w:val="20"/>
          <w:szCs w:val="20"/>
        </w:rPr>
        <w:t xml:space="preserve">     </w:t>
      </w:r>
      <w:r w:rsidR="00BC3F5C">
        <w:rPr>
          <w:sz w:val="20"/>
          <w:szCs w:val="20"/>
        </w:rPr>
        <w:t xml:space="preserve">El control, la evaluación y fiscalización del manejo de los recursos federales a que se refiere este Capítulo quedará a cargo de las siguientes autoridades, en las etapas que se indican: </w:t>
      </w:r>
    </w:p>
    <w:p w14:paraId="42936683" w14:textId="77777777" w:rsidR="00BC3F5C" w:rsidRDefault="00BC3F5C" w:rsidP="00BC3F5C">
      <w:pPr>
        <w:pStyle w:val="Default"/>
        <w:jc w:val="right"/>
        <w:rPr>
          <w:sz w:val="16"/>
          <w:szCs w:val="16"/>
        </w:rPr>
      </w:pPr>
      <w:r>
        <w:rPr>
          <w:rFonts w:ascii="Times New Roman" w:hAnsi="Times New Roman" w:cs="Times New Roman"/>
          <w:i/>
          <w:iCs/>
          <w:color w:val="0000FF"/>
          <w:sz w:val="16"/>
          <w:szCs w:val="16"/>
        </w:rPr>
        <w:t xml:space="preserve">Párrafo reformado DOF 01-10-2007 </w:t>
      </w:r>
    </w:p>
    <w:p w14:paraId="2BD07EF1" w14:textId="77777777" w:rsidR="00BC3F5C" w:rsidRDefault="00BC3F5C" w:rsidP="00BC3F5C">
      <w:pPr>
        <w:pStyle w:val="Default"/>
        <w:numPr>
          <w:ilvl w:val="0"/>
          <w:numId w:val="1"/>
        </w:numPr>
        <w:jc w:val="both"/>
        <w:rPr>
          <w:sz w:val="20"/>
          <w:szCs w:val="20"/>
        </w:rPr>
      </w:pPr>
      <w:r>
        <w:rPr>
          <w:sz w:val="20"/>
          <w:szCs w:val="20"/>
        </w:rPr>
        <w:t xml:space="preserve">Desde el inicio del proceso de presupuestación, en términos de la legislación presupuestaria federal y hasta la entrega de los recursos correspondientes a las Entidades Federativas, corresponderá a la Secretaría de la Función Pública; </w:t>
      </w:r>
    </w:p>
    <w:p w14:paraId="78A2A4BC" w14:textId="77777777" w:rsidR="00BC3F5C" w:rsidRDefault="00BC3F5C" w:rsidP="00BC3F5C">
      <w:pPr>
        <w:pStyle w:val="Default"/>
        <w:numPr>
          <w:ilvl w:val="0"/>
          <w:numId w:val="1"/>
        </w:numPr>
        <w:jc w:val="both"/>
        <w:rPr>
          <w:sz w:val="20"/>
          <w:szCs w:val="20"/>
        </w:rPr>
      </w:pPr>
      <w:r>
        <w:rPr>
          <w:sz w:val="20"/>
          <w:szCs w:val="20"/>
        </w:rPr>
        <w:t xml:space="preserve">Recibidos los recursos de los fondos de que se trate por las Entidades Federativas, los Municipios y las Demarcaciones Territoriales del Distrito Federal, hasta su erogación total, corresponderá a las autoridades de control y supervisión interna de los gobiernos locales. </w:t>
      </w:r>
    </w:p>
    <w:p w14:paraId="1296C18D" w14:textId="77777777" w:rsidR="00BC3F5C" w:rsidRDefault="00BC3F5C" w:rsidP="00BC3F5C">
      <w:pPr>
        <w:pStyle w:val="Default"/>
        <w:ind w:left="1416"/>
        <w:jc w:val="both"/>
        <w:rPr>
          <w:sz w:val="20"/>
          <w:szCs w:val="20"/>
        </w:rPr>
      </w:pPr>
      <w:r>
        <w:rPr>
          <w:sz w:val="20"/>
          <w:szCs w:val="20"/>
        </w:rPr>
        <w:t xml:space="preserve">La supervisión y vigilancia no podrán implicar limitaciones ni restricciones, de                     cualquier índole, en la administración y ejercicio de dichos Fondos; </w:t>
      </w:r>
    </w:p>
    <w:p w14:paraId="3C8BFE70" w14:textId="77777777" w:rsidR="00BC3F5C" w:rsidRDefault="00BC3F5C" w:rsidP="00BC3F5C">
      <w:pPr>
        <w:pStyle w:val="Default"/>
        <w:numPr>
          <w:ilvl w:val="0"/>
          <w:numId w:val="1"/>
        </w:numPr>
        <w:jc w:val="both"/>
        <w:rPr>
          <w:sz w:val="20"/>
          <w:szCs w:val="20"/>
        </w:rPr>
      </w:pPr>
      <w:r>
        <w:rPr>
          <w:b/>
          <w:bCs/>
          <w:sz w:val="20"/>
          <w:szCs w:val="20"/>
        </w:rPr>
        <w:t xml:space="preserve"> </w:t>
      </w:r>
      <w:r>
        <w:rPr>
          <w:sz w:val="20"/>
          <w:szCs w:val="20"/>
        </w:rPr>
        <w:t xml:space="preserve">La fiscalización sobre el ejercicio de los recursos de los Fondos a que se refiere el presente Capítulo corresponde a la Auditoría Superior de la Federación en los términos de la Ley de Fiscalización y Rendición de Cuentas de la Federación; </w:t>
      </w:r>
    </w:p>
    <w:p w14:paraId="61ACDBB6" w14:textId="77777777" w:rsidR="00E80910" w:rsidRDefault="00BC3F5C" w:rsidP="00BC3F5C">
      <w:pPr>
        <w:jc w:val="right"/>
        <w:rPr>
          <w:rFonts w:ascii="Times New Roman" w:hAnsi="Times New Roman" w:cs="Times New Roman"/>
          <w:i/>
          <w:iCs/>
          <w:color w:val="0000FF"/>
          <w:sz w:val="16"/>
          <w:szCs w:val="16"/>
        </w:rPr>
      </w:pPr>
      <w:r w:rsidRPr="00BC3F5C">
        <w:rPr>
          <w:rFonts w:ascii="Times New Roman" w:hAnsi="Times New Roman" w:cs="Times New Roman"/>
          <w:i/>
          <w:iCs/>
          <w:color w:val="0000FF"/>
          <w:sz w:val="16"/>
          <w:szCs w:val="16"/>
        </w:rPr>
        <w:t>Fracción reformada DOF 01-10-2007, 18-07-2016</w:t>
      </w:r>
    </w:p>
    <w:p w14:paraId="3F75CAD4" w14:textId="77777777" w:rsidR="00BC3F5C" w:rsidRDefault="00BC3F5C" w:rsidP="00BC3F5C">
      <w:pPr>
        <w:pStyle w:val="Default"/>
        <w:numPr>
          <w:ilvl w:val="0"/>
          <w:numId w:val="1"/>
        </w:numPr>
        <w:jc w:val="both"/>
        <w:rPr>
          <w:sz w:val="20"/>
          <w:szCs w:val="20"/>
        </w:rPr>
      </w:pPr>
      <w:r>
        <w:rPr>
          <w:b/>
          <w:bCs/>
          <w:sz w:val="20"/>
          <w:szCs w:val="20"/>
        </w:rPr>
        <w:t xml:space="preserve"> </w:t>
      </w:r>
      <w:r>
        <w:rPr>
          <w:sz w:val="20"/>
          <w:szCs w:val="20"/>
        </w:rPr>
        <w:t xml:space="preserve">La Auditoría Superior de la Federación de la Cámara de Diputados del Congreso de la Unión, al fiscalizar la Cuenta Pública Federal que corresponda, verificará que las dependencias del Ejecutivo Federal cumplieron con las disposiciones legales y administrativas federales y, por lo que hace a la ejecución de los recursos de los Fondos a los que se refiere este capítulo, la misma se realizará en términos de la Ley de Fiscalización y Rendición de Cuentas de la Federación. </w:t>
      </w:r>
    </w:p>
    <w:p w14:paraId="24F30E92" w14:textId="77777777" w:rsidR="00BC3F5C" w:rsidRDefault="00BC3F5C" w:rsidP="00BC3F5C">
      <w:pPr>
        <w:ind w:left="1416"/>
        <w:jc w:val="both"/>
        <w:rPr>
          <w:sz w:val="20"/>
          <w:szCs w:val="20"/>
        </w:rPr>
      </w:pPr>
      <w:r>
        <w:rPr>
          <w:sz w:val="20"/>
          <w:szCs w:val="20"/>
        </w:rPr>
        <w:t xml:space="preserve"> Para efectos de la fiscalización a que se refiere el párrafo anterior y con el objeto de fortalecer el alcance, profundidad, calidad y seguimiento de las revisiones realizadas por la Auditoría Superior de la Federación, se transferirá a ésta el 0.1 por ciento de los recursos de </w:t>
      </w:r>
      <w:r>
        <w:rPr>
          <w:sz w:val="20"/>
          <w:szCs w:val="20"/>
        </w:rPr>
        <w:lastRenderedPageBreak/>
        <w:t>los fondos de aportaciones federales aprobados en el Presupuesto de Egresos de la Federación, con excepción del componente de servicios personales previsto en el Fondo de Aportaciones para la Nómina Educativa y Gasto Operativo.</w:t>
      </w:r>
    </w:p>
    <w:p w14:paraId="1B82AB91" w14:textId="77777777" w:rsidR="00BC3F5C" w:rsidRDefault="00BC3F5C" w:rsidP="00BC3F5C">
      <w:pPr>
        <w:pStyle w:val="Default"/>
        <w:ind w:left="1416"/>
        <w:jc w:val="both"/>
        <w:rPr>
          <w:sz w:val="20"/>
          <w:szCs w:val="20"/>
        </w:rPr>
      </w:pPr>
      <w:r>
        <w:rPr>
          <w:sz w:val="20"/>
          <w:szCs w:val="20"/>
        </w:rPr>
        <w:t xml:space="preserve">La Secretaría deducirá el monto correspondiente de los Fondos antes referidos, y lo transferirá a la Auditoría Superior de la Federación a más tardar el último día hábil del mes de junio de cada ejercicio fiscal; </w:t>
      </w:r>
    </w:p>
    <w:p w14:paraId="7EFC99D0" w14:textId="77777777" w:rsidR="00BC3F5C" w:rsidRDefault="00BC3F5C" w:rsidP="00BC3F5C">
      <w:pPr>
        <w:pStyle w:val="Default"/>
        <w:jc w:val="right"/>
        <w:rPr>
          <w:sz w:val="16"/>
          <w:szCs w:val="16"/>
        </w:rPr>
      </w:pPr>
      <w:r>
        <w:rPr>
          <w:rFonts w:ascii="Times New Roman" w:hAnsi="Times New Roman" w:cs="Times New Roman"/>
          <w:i/>
          <w:iCs/>
          <w:color w:val="0000FF"/>
          <w:sz w:val="16"/>
          <w:szCs w:val="16"/>
        </w:rPr>
        <w:t xml:space="preserve">Fracción reformada DOF 01-10-2007, 18-07-2016 </w:t>
      </w:r>
    </w:p>
    <w:p w14:paraId="3BA5ACFC" w14:textId="77777777" w:rsidR="00BC3F5C" w:rsidRDefault="00BC3F5C" w:rsidP="00BC3F5C">
      <w:pPr>
        <w:pStyle w:val="Default"/>
        <w:numPr>
          <w:ilvl w:val="0"/>
          <w:numId w:val="1"/>
        </w:numPr>
        <w:jc w:val="both"/>
        <w:rPr>
          <w:sz w:val="20"/>
          <w:szCs w:val="20"/>
        </w:rPr>
      </w:pPr>
      <w:r>
        <w:rPr>
          <w:sz w:val="20"/>
          <w:szCs w:val="20"/>
        </w:rPr>
        <w:t xml:space="preserve">El ejercicio de los recursos a que se refiere el presente capítulo deberá sujetarse a la evaluación del desempeño en términos del artículo 110 de la Ley Federal de Presupuesto y Responsabilidad Hacendaria. Los resultados del ejercicio de dichos recursos deberán ser evaluados, con base en indicadores, a fin de verificar el cumplimiento de los objetivos a los que se encuentran destinados los Fondos de Aportaciones Federales conforme a la presente Ley, incluyendo, en su caso, el resultado cuando concurran recursos de la entidades federativas, municipios o demarcaciones territoriales de la Ciudad de México. </w:t>
      </w:r>
    </w:p>
    <w:p w14:paraId="5DEA1317" w14:textId="77777777" w:rsidR="00BC3F5C" w:rsidRDefault="00BC3F5C" w:rsidP="00BC3F5C">
      <w:pPr>
        <w:pStyle w:val="Default"/>
        <w:ind w:left="1416"/>
        <w:jc w:val="both"/>
        <w:rPr>
          <w:sz w:val="20"/>
          <w:szCs w:val="20"/>
        </w:rPr>
      </w:pPr>
      <w:r>
        <w:rPr>
          <w:sz w:val="20"/>
          <w:szCs w:val="20"/>
        </w:rPr>
        <w:t xml:space="preserve">Para efectos de la evaluación a que se refiere el párrafo anterior, se transferirá hasta el 0.05 por ciento de los recursos de los fondos de aportaciones federales aprobados en el Presupuesto de Egresos de la Federación, con excepción del componente de servicios personales previsto en el Fondo de Aportaciones para la Nómina Educativa y Gasto Operativo, al mecanismo que para tal efecto establezca la Secretaría de Hacienda y Crédito Público. </w:t>
      </w:r>
    </w:p>
    <w:p w14:paraId="77EB477F" w14:textId="77777777" w:rsidR="00BC3F5C" w:rsidRDefault="00BC3F5C" w:rsidP="00BC3F5C">
      <w:pPr>
        <w:jc w:val="right"/>
        <w:rPr>
          <w:rFonts w:ascii="Times New Roman" w:hAnsi="Times New Roman" w:cs="Times New Roman"/>
          <w:i/>
          <w:iCs/>
          <w:color w:val="0000FF"/>
          <w:sz w:val="16"/>
          <w:szCs w:val="16"/>
        </w:rPr>
      </w:pPr>
      <w:r>
        <w:rPr>
          <w:rFonts w:ascii="Times New Roman" w:hAnsi="Times New Roman" w:cs="Times New Roman"/>
          <w:i/>
          <w:iCs/>
          <w:color w:val="0000FF"/>
          <w:sz w:val="16"/>
          <w:szCs w:val="16"/>
        </w:rPr>
        <w:t>Fracción adicionada DOF 01-10-2007. Reformada DOF 18-07-2016</w:t>
      </w:r>
    </w:p>
    <w:p w14:paraId="1822D3CB" w14:textId="77777777" w:rsidR="00BC3F5C" w:rsidRDefault="00E7308B" w:rsidP="00BC3F5C">
      <w:pPr>
        <w:pStyle w:val="Default"/>
        <w:jc w:val="both"/>
        <w:rPr>
          <w:sz w:val="20"/>
          <w:szCs w:val="20"/>
        </w:rPr>
      </w:pPr>
      <w:r>
        <w:rPr>
          <w:sz w:val="20"/>
          <w:szCs w:val="20"/>
        </w:rPr>
        <w:t xml:space="preserve">     </w:t>
      </w:r>
      <w:r w:rsidR="00BC3F5C">
        <w:rPr>
          <w:sz w:val="20"/>
          <w:szCs w:val="20"/>
        </w:rPr>
        <w:t xml:space="preserve">En el caso de los recursos para el pago de servicios personales previsto en el Fondo de Aportaciones para la Nómina Educativa y Gasto Operativo, las autoridades de control interno de los gobiernos federal y de las entidades federativas supervisarán, en el ámbito de sus respectivas competencias, el proceso de integración y pago de la nómina del personal educativo. Asimismo, la Auditoría Superior de la Federación fiscalizará la aplicación de dichos recursos. </w:t>
      </w:r>
    </w:p>
    <w:p w14:paraId="0B23C194" w14:textId="77777777" w:rsidR="00BC3F5C" w:rsidRDefault="00BC3F5C" w:rsidP="00BC3F5C">
      <w:pPr>
        <w:pStyle w:val="Default"/>
        <w:jc w:val="right"/>
        <w:rPr>
          <w:sz w:val="16"/>
          <w:szCs w:val="16"/>
        </w:rPr>
      </w:pPr>
      <w:r>
        <w:rPr>
          <w:rFonts w:ascii="Times New Roman" w:hAnsi="Times New Roman" w:cs="Times New Roman"/>
          <w:i/>
          <w:iCs/>
          <w:color w:val="0000FF"/>
          <w:sz w:val="16"/>
          <w:szCs w:val="16"/>
        </w:rPr>
        <w:t xml:space="preserve">Párrafo adicionado DOF 09-12-2013 </w:t>
      </w:r>
    </w:p>
    <w:p w14:paraId="75C61265" w14:textId="77777777" w:rsidR="00BC3F5C" w:rsidRDefault="00E7308B" w:rsidP="00BC3F5C">
      <w:pPr>
        <w:pStyle w:val="Default"/>
        <w:jc w:val="both"/>
        <w:rPr>
          <w:sz w:val="20"/>
          <w:szCs w:val="20"/>
        </w:rPr>
      </w:pPr>
      <w:r>
        <w:rPr>
          <w:sz w:val="20"/>
          <w:szCs w:val="20"/>
        </w:rPr>
        <w:t xml:space="preserve">     </w:t>
      </w:r>
      <w:r w:rsidR="00BC3F5C">
        <w:rPr>
          <w:sz w:val="20"/>
          <w:szCs w:val="20"/>
        </w:rPr>
        <w:t xml:space="preserve">Cuando las autoridades de las entidades federativas, de los municipios o de las demarcaciones territoriales del Distrito Federal, que en el ejercicio de sus atribuciones de control y supervisión conozcan que los recursos de los Fondos no han sido aplicados a los fines que por cada Fondo se señale en la Ley, deberán hacerlo del conocimiento de la Auditoría Superior de la Federación y de la Secretaría de la Función Pública en forma inmediata. </w:t>
      </w:r>
    </w:p>
    <w:p w14:paraId="4ABC9F68" w14:textId="77777777" w:rsidR="00BC3F5C" w:rsidRDefault="00BC3F5C" w:rsidP="00BC3F5C">
      <w:pPr>
        <w:pStyle w:val="Default"/>
        <w:jc w:val="right"/>
        <w:rPr>
          <w:sz w:val="16"/>
          <w:szCs w:val="16"/>
        </w:rPr>
      </w:pPr>
      <w:r>
        <w:rPr>
          <w:rFonts w:ascii="Times New Roman" w:hAnsi="Times New Roman" w:cs="Times New Roman"/>
          <w:i/>
          <w:iCs/>
          <w:color w:val="0000FF"/>
          <w:sz w:val="16"/>
          <w:szCs w:val="16"/>
        </w:rPr>
        <w:t xml:space="preserve">Párrafo reformado DOF 09-12-2013 </w:t>
      </w:r>
    </w:p>
    <w:p w14:paraId="413C3638" w14:textId="77777777" w:rsidR="00BC3F5C" w:rsidRDefault="00E7308B" w:rsidP="00BC3F5C">
      <w:pPr>
        <w:pStyle w:val="Default"/>
        <w:jc w:val="both"/>
        <w:rPr>
          <w:sz w:val="20"/>
          <w:szCs w:val="20"/>
        </w:rPr>
      </w:pPr>
      <w:r>
        <w:rPr>
          <w:sz w:val="20"/>
          <w:szCs w:val="20"/>
        </w:rPr>
        <w:t xml:space="preserve">     </w:t>
      </w:r>
      <w:r w:rsidR="00BC3F5C">
        <w:rPr>
          <w:sz w:val="20"/>
          <w:szCs w:val="20"/>
        </w:rPr>
        <w:t xml:space="preserve">Por su parte, cuando la entidad de fiscalización del Poder Legislativo local, detecte que los recursos de los Fondos no se han destinado a los fines establecidos en esta Ley, deberá hacerlo del conocimiento inmediato de la Auditoría Superior de la Federación de la Cámara de Diputados del Congreso de la Unión. </w:t>
      </w:r>
    </w:p>
    <w:p w14:paraId="3DF8C93A" w14:textId="77777777" w:rsidR="00BC3F5C" w:rsidRDefault="00BC3F5C" w:rsidP="00BC3F5C">
      <w:pPr>
        <w:jc w:val="right"/>
        <w:rPr>
          <w:rFonts w:ascii="Times New Roman" w:hAnsi="Times New Roman" w:cs="Times New Roman"/>
          <w:i/>
          <w:iCs/>
          <w:color w:val="0000FF"/>
          <w:sz w:val="16"/>
          <w:szCs w:val="16"/>
        </w:rPr>
      </w:pPr>
      <w:r>
        <w:rPr>
          <w:rFonts w:ascii="Times New Roman" w:hAnsi="Times New Roman" w:cs="Times New Roman"/>
          <w:i/>
          <w:iCs/>
          <w:color w:val="0000FF"/>
          <w:sz w:val="16"/>
          <w:szCs w:val="16"/>
        </w:rPr>
        <w:t>Párrafo reformado DOF 09-12-2013</w:t>
      </w:r>
    </w:p>
    <w:p w14:paraId="0C4C8978" w14:textId="77777777" w:rsidR="00BC3F5C" w:rsidRDefault="00E7308B" w:rsidP="00E7308B">
      <w:pPr>
        <w:pStyle w:val="Default"/>
        <w:jc w:val="both"/>
        <w:rPr>
          <w:rFonts w:ascii="Times New Roman" w:hAnsi="Times New Roman" w:cs="Times New Roman"/>
          <w:i/>
          <w:iCs/>
          <w:color w:val="0000FF"/>
          <w:sz w:val="16"/>
          <w:szCs w:val="16"/>
        </w:rPr>
      </w:pPr>
      <w:r>
        <w:rPr>
          <w:sz w:val="20"/>
          <w:szCs w:val="20"/>
        </w:rPr>
        <w:t xml:space="preserve">    </w:t>
      </w:r>
    </w:p>
    <w:p w14:paraId="6F427A70" w14:textId="77777777" w:rsidR="00E7308B" w:rsidRDefault="00E7308B" w:rsidP="00E7308B">
      <w:pPr>
        <w:pStyle w:val="Default"/>
        <w:jc w:val="both"/>
        <w:rPr>
          <w:sz w:val="20"/>
          <w:szCs w:val="20"/>
        </w:rPr>
      </w:pPr>
      <w:r>
        <w:rPr>
          <w:sz w:val="20"/>
          <w:szCs w:val="20"/>
        </w:rPr>
        <w:t xml:space="preserve">     Las responsabilidades administrativas, civiles y penales en que incurran los servidores públicos federales o locales por el manejo o aplicación indebidos de los recursos de los Fondos a que se refiere este Capítulo, serán determinadas y sancionadas por las autoridades federales, en los términos de las leyes federales aplicables. </w:t>
      </w:r>
    </w:p>
    <w:p w14:paraId="645FFD37" w14:textId="77777777" w:rsidR="00E7308B" w:rsidRDefault="00E7308B" w:rsidP="00E7308B">
      <w:pPr>
        <w:pStyle w:val="Default"/>
        <w:jc w:val="right"/>
        <w:rPr>
          <w:sz w:val="16"/>
          <w:szCs w:val="16"/>
        </w:rPr>
      </w:pPr>
      <w:r>
        <w:rPr>
          <w:rFonts w:ascii="Times New Roman" w:hAnsi="Times New Roman" w:cs="Times New Roman"/>
          <w:i/>
          <w:iCs/>
          <w:color w:val="0000FF"/>
          <w:sz w:val="16"/>
          <w:szCs w:val="16"/>
        </w:rPr>
        <w:t xml:space="preserve">Párrafo reformado DOF 09-12-2013, 18-07-2016 </w:t>
      </w:r>
    </w:p>
    <w:p w14:paraId="518221CA" w14:textId="3F6195E8" w:rsidR="00BC3F5C" w:rsidRDefault="00E7308B" w:rsidP="00E7308B">
      <w:pPr>
        <w:jc w:val="right"/>
        <w:rPr>
          <w:rFonts w:ascii="Times New Roman" w:hAnsi="Times New Roman" w:cs="Times New Roman"/>
          <w:i/>
          <w:iCs/>
          <w:color w:val="0000FF"/>
          <w:sz w:val="16"/>
          <w:szCs w:val="16"/>
        </w:rPr>
      </w:pPr>
      <w:r>
        <w:rPr>
          <w:rFonts w:ascii="Times New Roman" w:hAnsi="Times New Roman" w:cs="Times New Roman"/>
          <w:i/>
          <w:iCs/>
          <w:color w:val="0000FF"/>
          <w:sz w:val="16"/>
          <w:szCs w:val="16"/>
        </w:rPr>
        <w:t>Artículo adicionado DOF 27-12-2006</w:t>
      </w:r>
    </w:p>
    <w:p w14:paraId="1DC0AAE4" w14:textId="0368BCDB" w:rsidR="00AE7761" w:rsidRDefault="00AE7761" w:rsidP="00E7308B">
      <w:pPr>
        <w:jc w:val="right"/>
        <w:rPr>
          <w:rFonts w:ascii="Times New Roman" w:hAnsi="Times New Roman" w:cs="Times New Roman"/>
          <w:i/>
          <w:iCs/>
          <w:color w:val="0000FF"/>
          <w:sz w:val="16"/>
          <w:szCs w:val="16"/>
        </w:rPr>
      </w:pPr>
    </w:p>
    <w:p w14:paraId="6421D0BC" w14:textId="00519876" w:rsidR="00AE7761" w:rsidRDefault="00AE7761" w:rsidP="00E7308B">
      <w:pPr>
        <w:jc w:val="right"/>
        <w:rPr>
          <w:rFonts w:ascii="Times New Roman" w:hAnsi="Times New Roman" w:cs="Times New Roman"/>
          <w:i/>
          <w:iCs/>
          <w:color w:val="0000FF"/>
          <w:sz w:val="16"/>
          <w:szCs w:val="16"/>
        </w:rPr>
      </w:pPr>
    </w:p>
    <w:p w14:paraId="5552AA60" w14:textId="54DACA3B" w:rsidR="00AE7761" w:rsidRPr="00AE7761" w:rsidRDefault="00AE7761" w:rsidP="00AE7761">
      <w:pPr>
        <w:rPr>
          <w:rFonts w:ascii="Arial" w:hAnsi="Arial" w:cs="Arial"/>
          <w:sz w:val="16"/>
          <w:szCs w:val="16"/>
        </w:rPr>
      </w:pPr>
      <w:r w:rsidRPr="00AE7761">
        <w:rPr>
          <w:rFonts w:ascii="Arial" w:hAnsi="Arial" w:cs="Arial"/>
          <w:sz w:val="16"/>
          <w:szCs w:val="16"/>
        </w:rPr>
        <w:t>L.A.F. MANUEL ISRAEL QUINTAL GORIAN                                                                 C. MIRNA DEL CARMEN EK KUK</w:t>
      </w:r>
    </w:p>
    <w:p w14:paraId="688D2C39" w14:textId="20326237" w:rsidR="00AE7761" w:rsidRPr="00AE7761" w:rsidRDefault="00AE7761" w:rsidP="00AE7761">
      <w:pPr>
        <w:rPr>
          <w:rFonts w:ascii="Arial" w:hAnsi="Arial" w:cs="Arial"/>
          <w:sz w:val="16"/>
          <w:szCs w:val="16"/>
        </w:rPr>
      </w:pPr>
      <w:r w:rsidRPr="00AE7761">
        <w:rPr>
          <w:rFonts w:ascii="Arial" w:hAnsi="Arial" w:cs="Arial"/>
          <w:sz w:val="16"/>
          <w:szCs w:val="16"/>
        </w:rPr>
        <w:t xml:space="preserve">                TESORERO MUNICIPAL                                                                                          SINDICO DE HACIENDA                                                                 </w:t>
      </w:r>
    </w:p>
    <w:p w14:paraId="572C4E73" w14:textId="77777777" w:rsidR="00AE7761" w:rsidRPr="00AE7761" w:rsidRDefault="00AE7761" w:rsidP="00AE7761">
      <w:pPr>
        <w:rPr>
          <w:rFonts w:ascii="Arial" w:hAnsi="Arial" w:cs="Arial"/>
          <w:b/>
          <w:bCs/>
        </w:rPr>
      </w:pPr>
    </w:p>
    <w:sectPr w:rsidR="00AE7761" w:rsidRPr="00AE7761" w:rsidSect="00473B41">
      <w:pgSz w:w="12240" w:h="15840" w:code="1"/>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44B0C"/>
    <w:multiLevelType w:val="hybridMultilevel"/>
    <w:tmpl w:val="1C566A64"/>
    <w:lvl w:ilvl="0" w:tplc="4E8EEC62">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16cid:durableId="264652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5C"/>
    <w:rsid w:val="000E621C"/>
    <w:rsid w:val="003E4BC8"/>
    <w:rsid w:val="00473B41"/>
    <w:rsid w:val="00A06555"/>
    <w:rsid w:val="00AE7761"/>
    <w:rsid w:val="00BC3F5C"/>
    <w:rsid w:val="00E730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63BA7"/>
  <w15:chartTrackingRefBased/>
  <w15:docId w15:val="{3D236AE0-33FE-44C8-AC85-D371F996B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BC3F5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1155</Words>
  <Characters>6356</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depot</cp:lastModifiedBy>
  <cp:revision>4</cp:revision>
  <cp:lastPrinted>2026-02-25T19:15:00Z</cp:lastPrinted>
  <dcterms:created xsi:type="dcterms:W3CDTF">2026-02-25T17:54:00Z</dcterms:created>
  <dcterms:modified xsi:type="dcterms:W3CDTF">2026-02-25T19:15:00Z</dcterms:modified>
</cp:coreProperties>
</file>